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369A" w14:textId="361D0FFF" w:rsidR="00F07C63" w:rsidRDefault="0017314C" w:rsidP="008E2FF9">
      <w:pPr>
        <w:pStyle w:val="Chapitre"/>
        <w:spacing w:line="240" w:lineRule="auto"/>
        <w:rPr>
          <w:lang w:val="fr-FR"/>
        </w:rPr>
      </w:pPr>
      <w:r w:rsidRPr="0017314C">
        <w:rPr>
          <w:lang w:val="fr-FR"/>
        </w:rPr>
        <w:t>Ontologie du ventre — De l’intériorité féminine comme structure de l’être dans</w:t>
      </w:r>
      <w:r>
        <w:rPr>
          <w:lang w:val="fr-FR"/>
        </w:rPr>
        <w:t xml:space="preserve"> l’album</w:t>
      </w:r>
      <w:r w:rsidRPr="0017314C">
        <w:rPr>
          <w:lang w:val="fr-FR"/>
        </w:rPr>
        <w:t xml:space="preserve"> </w:t>
      </w:r>
      <w:r w:rsidRPr="0017314C">
        <w:rPr>
          <w:i/>
          <w:iCs/>
          <w:lang w:val="fr-FR"/>
        </w:rPr>
        <w:t>The Kick Inside</w:t>
      </w:r>
      <w:r w:rsidRPr="0017314C">
        <w:rPr>
          <w:lang w:val="fr-FR"/>
        </w:rPr>
        <w:t xml:space="preserve"> de Kate Bush</w:t>
      </w:r>
      <w:r>
        <w:rPr>
          <w:lang w:val="fr-FR"/>
        </w:rPr>
        <w:t xml:space="preserve"> </w:t>
      </w:r>
    </w:p>
    <w:p w14:paraId="6FD7B717" w14:textId="21967BA4" w:rsidR="00F07C63" w:rsidRDefault="00F07C63" w:rsidP="00166C63">
      <w:pPr>
        <w:pStyle w:val="Chapitre"/>
        <w:rPr>
          <w:b w:val="0"/>
          <w:bCs/>
          <w:sz w:val="16"/>
          <w:szCs w:val="16"/>
          <w:lang w:val="fr-FR"/>
        </w:rPr>
      </w:pPr>
      <w:r w:rsidRPr="00AE4118">
        <w:rPr>
          <w:b w:val="0"/>
          <w:bCs/>
          <w:sz w:val="16"/>
          <w:szCs w:val="16"/>
          <w:lang w:val="fr-FR"/>
        </w:rPr>
        <w:t xml:space="preserve">Conception, correction et </w:t>
      </w:r>
      <w:proofErr w:type="gramStart"/>
      <w:r w:rsidRPr="00AE4118">
        <w:rPr>
          <w:b w:val="0"/>
          <w:bCs/>
          <w:sz w:val="16"/>
          <w:szCs w:val="16"/>
          <w:lang w:val="fr-FR"/>
        </w:rPr>
        <w:t>validation:</w:t>
      </w:r>
      <w:proofErr w:type="gramEnd"/>
      <w:r w:rsidRPr="00AE4118">
        <w:rPr>
          <w:b w:val="0"/>
          <w:bCs/>
          <w:sz w:val="16"/>
          <w:szCs w:val="16"/>
          <w:lang w:val="fr-FR"/>
        </w:rPr>
        <w:t xml:space="preserve"> Emmanuel Dion</w:t>
      </w:r>
      <w:r w:rsidR="00166C63">
        <w:rPr>
          <w:b w:val="0"/>
          <w:bCs/>
          <w:sz w:val="16"/>
          <w:szCs w:val="16"/>
          <w:lang w:val="fr-FR"/>
        </w:rPr>
        <w:br/>
      </w:r>
      <w:proofErr w:type="gramStart"/>
      <w:r w:rsidRPr="00AE4118">
        <w:rPr>
          <w:b w:val="0"/>
          <w:bCs/>
          <w:sz w:val="16"/>
          <w:szCs w:val="16"/>
          <w:lang w:val="fr-FR"/>
        </w:rPr>
        <w:t>Rédaction:</w:t>
      </w:r>
      <w:proofErr w:type="gramEnd"/>
      <w:r w:rsidRPr="00AE4118">
        <w:rPr>
          <w:b w:val="0"/>
          <w:bCs/>
          <w:sz w:val="16"/>
          <w:szCs w:val="16"/>
          <w:lang w:val="fr-FR"/>
        </w:rPr>
        <w:t xml:space="preserve"> ChatGPT 5.2</w:t>
      </w:r>
    </w:p>
    <w:p w14:paraId="4197E504" w14:textId="431771E0" w:rsidR="00F07C63" w:rsidRPr="00AE4118" w:rsidRDefault="008E2FF9" w:rsidP="00F07C63">
      <w:pPr>
        <w:pStyle w:val="Chapitre"/>
        <w:rPr>
          <w:b w:val="0"/>
          <w:bCs/>
          <w:i/>
          <w:iCs/>
          <w:sz w:val="16"/>
          <w:szCs w:val="16"/>
        </w:rPr>
      </w:pPr>
      <w:r>
        <w:rPr>
          <w:b w:val="0"/>
          <w:bCs/>
          <w:i/>
          <w:iCs/>
          <w:sz w:val="16"/>
          <w:szCs w:val="16"/>
          <w:lang w:val="fr-FR"/>
        </w:rPr>
        <w:t>30</w:t>
      </w:r>
      <w:r w:rsidR="0017314C">
        <w:rPr>
          <w:b w:val="0"/>
          <w:bCs/>
          <w:i/>
          <w:iCs/>
          <w:sz w:val="16"/>
          <w:szCs w:val="16"/>
          <w:lang w:val="fr-FR"/>
        </w:rPr>
        <w:t xml:space="preserve"> j</w:t>
      </w:r>
      <w:r w:rsidR="00F07C63" w:rsidRPr="00AE4118">
        <w:rPr>
          <w:b w:val="0"/>
          <w:bCs/>
          <w:i/>
          <w:iCs/>
          <w:sz w:val="16"/>
          <w:szCs w:val="16"/>
          <w:lang w:val="fr-FR"/>
        </w:rPr>
        <w:t>anvier 2026</w:t>
      </w:r>
    </w:p>
    <w:p w14:paraId="4A412D68" w14:textId="77777777" w:rsidR="008E2FF9" w:rsidRPr="008E2FF9" w:rsidRDefault="008E2FF9" w:rsidP="00C4794B">
      <w:r w:rsidRPr="008E2FF9">
        <w:t xml:space="preserve">Il existe des œuvres dont la cohérence ne relève ni du thème explicite ni du message formulable, mais d’un régime sémantique suffisamment homogène pour produire une vision du monde. </w:t>
      </w:r>
      <w:r w:rsidRPr="008E2FF9">
        <w:rPr>
          <w:i/>
          <w:iCs/>
        </w:rPr>
        <w:t>The Kick Inside</w:t>
      </w:r>
      <w:r w:rsidRPr="008E2FF9">
        <w:t xml:space="preserve"> appartient à cette catégorie rare : l’album ne raconte pas une histoire, il impose une topologie de l’être. Cette topologie est celle du dedans. Plus précisément : celle du </w:t>
      </w:r>
      <w:r w:rsidRPr="00C4794B">
        <w:t>ventre</w:t>
      </w:r>
      <w:r w:rsidRPr="008E2FF9">
        <w:t xml:space="preserve">, entendu non comme simple organe biologique, mais comme structure ontologique, lieu de la vie latente, de la coexistence interne, du sens non extériorisé. À travers un réseau lexical restreint mais obsessionnel — </w:t>
      </w:r>
      <w:proofErr w:type="spellStart"/>
      <w:r w:rsidRPr="008E2FF9">
        <w:rPr>
          <w:i/>
          <w:iCs/>
        </w:rPr>
        <w:t>inside</w:t>
      </w:r>
      <w:proofErr w:type="spellEnd"/>
      <w:r w:rsidRPr="008E2FF9">
        <w:t xml:space="preserve">, </w:t>
      </w:r>
      <w:r w:rsidRPr="008E2FF9">
        <w:rPr>
          <w:i/>
          <w:iCs/>
        </w:rPr>
        <w:t>room</w:t>
      </w:r>
      <w:r w:rsidRPr="008E2FF9">
        <w:t xml:space="preserve">, </w:t>
      </w:r>
      <w:proofErr w:type="spellStart"/>
      <w:r w:rsidRPr="008E2FF9">
        <w:rPr>
          <w:i/>
          <w:iCs/>
        </w:rPr>
        <w:t>womb</w:t>
      </w:r>
      <w:proofErr w:type="spellEnd"/>
      <w:r w:rsidRPr="008E2FF9">
        <w:t xml:space="preserve">, </w:t>
      </w:r>
      <w:proofErr w:type="spellStart"/>
      <w:r w:rsidRPr="008E2FF9">
        <w:rPr>
          <w:i/>
          <w:iCs/>
        </w:rPr>
        <w:t>feel</w:t>
      </w:r>
      <w:proofErr w:type="spellEnd"/>
      <w:r w:rsidRPr="008E2FF9">
        <w:t xml:space="preserve">, </w:t>
      </w:r>
      <w:proofErr w:type="spellStart"/>
      <w:r w:rsidRPr="008E2FF9">
        <w:rPr>
          <w:i/>
          <w:iCs/>
        </w:rPr>
        <w:t>hold</w:t>
      </w:r>
      <w:proofErr w:type="spellEnd"/>
      <w:r w:rsidRPr="008E2FF9">
        <w:t xml:space="preserve">, </w:t>
      </w:r>
      <w:r w:rsidRPr="008E2FF9">
        <w:rPr>
          <w:i/>
          <w:iCs/>
        </w:rPr>
        <w:t>life</w:t>
      </w:r>
      <w:r w:rsidRPr="008E2FF9">
        <w:t xml:space="preserve"> — l’album élabore une métaphysique implicite, profondément sexuée, qui oppose le féminin comme logique de contenance au masculin comme logique de projection.</w:t>
      </w:r>
    </w:p>
    <w:p w14:paraId="4177D38F" w14:textId="77777777" w:rsidR="008E2FF9" w:rsidRPr="008E2FF9" w:rsidRDefault="008E2FF9" w:rsidP="00C4794B">
      <w:r w:rsidRPr="008E2FF9">
        <w:t xml:space="preserve">Cette opposition ne se confond ni avec une sociologie des rôles ni avec une psychologie des genres. Elle relève d’un clivage plus fondamental : celui qui traverse la tradition occidentale entre esprit et corps, abstraction et incarnation, axe et volume. Le féminin, tel qu’il se donne ici, n’est pas une identité revendiquée mais une condition </w:t>
      </w:r>
      <w:r w:rsidRPr="008E2FF9">
        <w:lastRenderedPageBreak/>
        <w:t>ontologique : celle d’un être qui existe d’abord comme intérieur, comme lieu, comme support de coexistence.</w:t>
      </w:r>
    </w:p>
    <w:p w14:paraId="2CFBFA8E" w14:textId="77777777" w:rsidR="008E2FF9" w:rsidRPr="008E2FF9" w:rsidRDefault="008E2FF9" w:rsidP="00C4794B">
      <w:r w:rsidRPr="008E2FF9">
        <w:t xml:space="preserve">Le terme </w:t>
      </w:r>
      <w:proofErr w:type="spellStart"/>
      <w:r w:rsidRPr="008E2FF9">
        <w:rPr>
          <w:i/>
          <w:iCs/>
        </w:rPr>
        <w:t>inside</w:t>
      </w:r>
      <w:proofErr w:type="spellEnd"/>
      <w:r w:rsidRPr="008E2FF9">
        <w:t xml:space="preserve"> joue dans l’album un rôle catégoriel. Il ne sert pas à localiser un objet dans l’espace, mais à définir la modalité même de l’existence. Lorsqu’il est affirmé qu’il existe un lieu à l’intérieur, la proposition ne décrit pas une intériorité psychologique ; elle affirme qu’il y a de l’être sans visibilité, de la réalité sans exposition. L’être n’est pas ce qui se manifeste, mais ce qui persiste à l’abri du regard. Cette orientation tranche radicalement avec la logique masculine classique de l’action, de l’extériorisation et de la conquête. Là où l’esprit se définit par sa capacité à viser un objet, à produire un effet ou à se projeter dans le monde, l’ontologie du ventre repose sur une logique inverse : celle de la latence, de la rétention et de la densité interne. L’être n’y est pas trajectoire, mais épaisseur.</w:t>
      </w:r>
    </w:p>
    <w:p w14:paraId="59C7D8C0" w14:textId="77777777" w:rsidR="008E2FF9" w:rsidRPr="008E2FF9" w:rsidRDefault="008E2FF9" w:rsidP="00C4794B">
      <w:r w:rsidRPr="008E2FF9">
        <w:t xml:space="preserve">Ce primat du dedans entre en résonance avec certaines limites mises au jour par la pensée formelle moderne. Toute tentative de réduction intégrale du réel à une architecture logique rencontre un point d’opacité irréductible. </w:t>
      </w:r>
      <w:r w:rsidRPr="008E2FF9">
        <w:rPr>
          <w:i/>
          <w:iCs/>
        </w:rPr>
        <w:t>The Kick Inside</w:t>
      </w:r>
      <w:r w:rsidRPr="008E2FF9">
        <w:t xml:space="preserve"> se situe délibérément dans cette zone de résistance : le réel le plus essentiel n’est pas formalisable, parce qu’il est intérieur, charnel, antérieur à toute abstraction.</w:t>
      </w:r>
    </w:p>
    <w:p w14:paraId="62D31C4F" w14:textId="77777777" w:rsidR="008E2FF9" w:rsidRPr="008E2FF9" w:rsidRDefault="008E2FF9" w:rsidP="00C4794B">
      <w:r w:rsidRPr="008E2FF9">
        <w:t xml:space="preserve">Le ventre n’est jamais pensé comme simple origine biologique ; il est conçu comme espace disponible, comme </w:t>
      </w:r>
      <w:r w:rsidRPr="008E2FF9">
        <w:rPr>
          <w:i/>
          <w:iCs/>
        </w:rPr>
        <w:t>room</w:t>
      </w:r>
      <w:r w:rsidRPr="008E2FF9">
        <w:t xml:space="preserve">. L’énoncé selon lequel il y a de la place pour une vie dans le ventre constitue une proposition ontologique minimale : l’existence commence comme possibilité contenue. Avant l’acte, avant la parole, avant la sortie dans le monde, il y a un espace interne capable d’héberger le vivant. Cette logique de la contenance s’oppose point par point à la logique de l’axe. L’axe est droit, orienté, vectoriel. Il suppose un dehors à atteindre, un objectif à conquérir, un point à dépasser. Le ventre, à l’inverse, est </w:t>
      </w:r>
      <w:r w:rsidRPr="008E2FF9">
        <w:lastRenderedPageBreak/>
        <w:t>volumique, creux, enveloppant, sans direction privilégiée. Il ne vise rien ; il accueille. Il ne dépasse pas ; il soutient. Cette topologie du creux renvoie directement au caractère fondamentalement intérieur, cavitaire et réceptif des organes génitaux féminins — le vagin et l’utérus — dont la fonction ontologique première n’est ni l’émission ni la projection, mais l’accueil, la contenance et la transformation silencieuse du vivant.</w:t>
      </w:r>
    </w:p>
    <w:p w14:paraId="57F1E561" w14:textId="77777777" w:rsidR="008E2FF9" w:rsidRPr="008E2FF9" w:rsidRDefault="008E2FF9" w:rsidP="00C4794B">
      <w:r w:rsidRPr="008E2FF9">
        <w:t>Cette différence de géométrie engage également une conception du temps spécifique. Là où l’esprit s’inscrit volontiers dans une logique linéaire — progression, accumulation, dépassement — le ventre relève d’une conception du temps cyclique, discontinue, faite de retraits et de retours. Le vivant ne s’abolit pas ; il se replie, puis réapparaît.</w:t>
      </w:r>
    </w:p>
    <w:p w14:paraId="75F99C8B" w14:textId="77777777" w:rsidR="008E2FF9" w:rsidRPr="008E2FF9" w:rsidRDefault="008E2FF9" w:rsidP="00C4794B">
      <w:r w:rsidRPr="008E2FF9">
        <w:t xml:space="preserve">L’un des motifs sémantiques les plus structurants de l’album est celui de la dualité interne : </w:t>
      </w:r>
      <w:proofErr w:type="spellStart"/>
      <w:r w:rsidRPr="008E2FF9">
        <w:rPr>
          <w:i/>
          <w:iCs/>
        </w:rPr>
        <w:t>two</w:t>
      </w:r>
      <w:proofErr w:type="spellEnd"/>
      <w:r w:rsidRPr="008E2FF9">
        <w:rPr>
          <w:i/>
          <w:iCs/>
        </w:rPr>
        <w:t xml:space="preserve"> in one</w:t>
      </w:r>
      <w:r w:rsidRPr="008E2FF9">
        <w:t>. Cette formule ne désigne ni une fusion mystique ni une contradiction dialectique. Elle décrit une coexistence silencieuse, rendue possible par l’espace intérieur du ventre. Deux vies, deux états, deux régimes peuvent y cohabiter sans se nier. Cette capacité de coexistence interne entre en résonance avec une conception du sujet non réductible à une instance homogène ou parfaitement cohérente. Le sujet qui se dessine ici n’est pas structuré par la quête de l’objet, mais par la capacité à héberger l’altérité en soi. Le ventre fonctionne alors comme modèle d’un sujet non totalisable, non refermable sur une identité simple.</w:t>
      </w:r>
    </w:p>
    <w:p w14:paraId="03F76654" w14:textId="77777777" w:rsidR="008E2FF9" w:rsidRPr="008E2FF9" w:rsidRDefault="008E2FF9" w:rsidP="00C4794B">
      <w:r w:rsidRPr="008E2FF9">
        <w:t xml:space="preserve">Cette structure s’oppose frontalement à l’idéal rationaliste d’un sujet transparent à lui-même. La découverte de limites internes à tout système formel a montré que l’esprit logique rencontre toujours un point d’indécidabilité. </w:t>
      </w:r>
      <w:r w:rsidRPr="008E2FF9">
        <w:rPr>
          <w:i/>
          <w:iCs/>
        </w:rPr>
        <w:t>The Kick Inside</w:t>
      </w:r>
      <w:r w:rsidRPr="008E2FF9">
        <w:t xml:space="preserve"> s’inscrit précisément de ce côté de la limite : là où quelque chose existe sans pouvoir être intégralement calculé, formulé ou extériorisé. </w:t>
      </w:r>
      <w:r w:rsidRPr="008E2FF9">
        <w:lastRenderedPageBreak/>
        <w:t>Le ventre apparaît alors comme l’analogue charnel de l’indécidable.</w:t>
      </w:r>
    </w:p>
    <w:p w14:paraId="451D524C" w14:textId="77777777" w:rsidR="008E2FF9" w:rsidRPr="008E2FF9" w:rsidRDefault="008E2FF9" w:rsidP="00C4794B">
      <w:r w:rsidRPr="008E2FF9">
        <w:t xml:space="preserve">Un autre clivage traverse l’album : celui qui oppose </w:t>
      </w:r>
      <w:proofErr w:type="spellStart"/>
      <w:r w:rsidRPr="008E2FF9">
        <w:rPr>
          <w:i/>
          <w:iCs/>
        </w:rPr>
        <w:t>feel</w:t>
      </w:r>
      <w:proofErr w:type="spellEnd"/>
      <w:r w:rsidRPr="008E2FF9">
        <w:t xml:space="preserve"> à </w:t>
      </w:r>
      <w:r w:rsidRPr="008E2FF9">
        <w:rPr>
          <w:i/>
          <w:iCs/>
        </w:rPr>
        <w:t>know</w:t>
      </w:r>
      <w:r w:rsidRPr="008E2FF9">
        <w:t>. Le savoir qui y est valorisé n’est ni conceptuel ni démonstratif. Il est sensible, immédiat, viscéral. Sentir précède comprendre, et parfois rend la compréhension superflue. La connaissance qui se dessine ici est une connaissance par immersion, non par distance. Elle procède par résonance interne plutôt que par analyse externe. Le ventre devient ainsi un organe de connaissance, au sens où il est le lieu où le réel est éprouvé avant d’être nommé.</w:t>
      </w:r>
    </w:p>
    <w:p w14:paraId="10EB06C7" w14:textId="77777777" w:rsidR="008E2FF9" w:rsidRPr="008E2FF9" w:rsidRDefault="008E2FF9" w:rsidP="00C4794B">
      <w:r w:rsidRPr="008E2FF9">
        <w:t xml:space="preserve">Là où certaines formes contemporaines de lucidité aboutissent à une désertification affective du réel, </w:t>
      </w:r>
      <w:r w:rsidRPr="008E2FF9">
        <w:rPr>
          <w:i/>
          <w:iCs/>
        </w:rPr>
        <w:t>The Kick Inside</w:t>
      </w:r>
      <w:r w:rsidRPr="008E2FF9">
        <w:t xml:space="preserve"> maintient une densité vitale précisément parce qu’il accepte l’opacité, le non-dit, la rétention. Le sens n’est pas dissipé dans la transparence ; il est conservé dans l’épaisseur.</w:t>
      </w:r>
    </w:p>
    <w:p w14:paraId="236FB99D" w14:textId="77777777" w:rsidR="008E2FF9" w:rsidRPr="008E2FF9" w:rsidRDefault="008E2FF9" w:rsidP="00C4794B">
      <w:r w:rsidRPr="008E2FF9">
        <w:t xml:space="preserve">L’ontologie du ventre ne se réduit pas à une célébration de la vie. Elle intègre le tragique comme dimension constitutive. Le ventre n’est pas seulement matrice ; il est aussi chambre de mémoire, voire sépulture intérieure. L’existence peut persister sans horizon d’action ni reconnaissance externe. L’être se définit alors par sa capacité à demeurer en soi, même lorsque toute possibilité d’extériorisation est annulée. La mort n’est ni glorieuse ni définitive ; elle est </w:t>
      </w:r>
      <w:proofErr w:type="gramStart"/>
      <w:r w:rsidRPr="008E2FF9">
        <w:t>retrait</w:t>
      </w:r>
      <w:proofErr w:type="gramEnd"/>
      <w:r w:rsidRPr="008E2FF9">
        <w:t>, suspension, silence chargé de sens.</w:t>
      </w:r>
    </w:p>
    <w:p w14:paraId="10309427" w14:textId="61AAAD44" w:rsidR="008E2FF9" w:rsidRPr="008E2FF9" w:rsidRDefault="008E2FF9" w:rsidP="00C4794B">
      <w:r w:rsidRPr="008E2FF9">
        <w:t xml:space="preserve">Il demeure difficile de ne pas être frappé par le paradoxe constitutif de </w:t>
      </w:r>
      <w:r w:rsidRPr="008E2FF9">
        <w:rPr>
          <w:i/>
          <w:iCs/>
        </w:rPr>
        <w:t>The Kick Inside</w:t>
      </w:r>
      <w:r w:rsidRPr="008E2FF9">
        <w:t xml:space="preserve"> : une œuvre dont la cohérence ontologique et la maturité sémantique excèdent largement ce que l’on attendrait d’une autrice à peine sortie de l’adolescence. L’album ne donne pas l’impression d’un savoir acquis ou élaboré, mais d’un savoir déjà là, antérieur à la conceptualisation, comme si </w:t>
      </w:r>
      <w:r w:rsidRPr="008E2FF9">
        <w:lastRenderedPageBreak/>
        <w:t xml:space="preserve">la jeunesse même de </w:t>
      </w:r>
      <w:r w:rsidR="00166C63">
        <w:t>Kate Bush</w:t>
      </w:r>
      <w:r w:rsidRPr="008E2FF9">
        <w:t xml:space="preserve"> avait permis un accès direct à une couche de l’expérience encore peu médiatisée par les schèmes intellectuels de la maîtrise et de l’abstraction.</w:t>
      </w:r>
    </w:p>
    <w:p w14:paraId="32B06706" w14:textId="7EEB36B3" w:rsidR="008E2FF9" w:rsidRPr="008E2FF9" w:rsidRDefault="008E2FF9" w:rsidP="00C4794B">
      <w:r w:rsidRPr="008E2FF9">
        <w:t xml:space="preserve">Un texte occupe </w:t>
      </w:r>
      <w:r w:rsidR="00166C63">
        <w:t>en particulier</w:t>
      </w:r>
      <w:r w:rsidRPr="008E2FF9">
        <w:t xml:space="preserve">, dans l’album, une position centrale presque paradigmatique : celui qui s’ouvre sur l’apostrophe « </w:t>
      </w:r>
      <w:r w:rsidRPr="008E2FF9">
        <w:rPr>
          <w:i/>
          <w:iCs/>
        </w:rPr>
        <w:t xml:space="preserve">Hey </w:t>
      </w:r>
      <w:proofErr w:type="spellStart"/>
      <w:r w:rsidRPr="008E2FF9">
        <w:rPr>
          <w:i/>
          <w:iCs/>
        </w:rPr>
        <w:t>there</w:t>
      </w:r>
      <w:proofErr w:type="spellEnd"/>
      <w:r w:rsidRPr="008E2FF9">
        <w:rPr>
          <w:i/>
          <w:iCs/>
        </w:rPr>
        <w:t xml:space="preserve"> </w:t>
      </w:r>
      <w:proofErr w:type="spellStart"/>
      <w:r w:rsidRPr="008E2FF9">
        <w:rPr>
          <w:i/>
          <w:iCs/>
        </w:rPr>
        <w:t>you</w:t>
      </w:r>
      <w:proofErr w:type="spellEnd"/>
      <w:r w:rsidRPr="008E2FF9">
        <w:rPr>
          <w:i/>
          <w:iCs/>
        </w:rPr>
        <w:t xml:space="preserve"> lady in </w:t>
      </w:r>
      <w:proofErr w:type="spellStart"/>
      <w:r w:rsidRPr="008E2FF9">
        <w:rPr>
          <w:i/>
          <w:iCs/>
        </w:rPr>
        <w:t>tears</w:t>
      </w:r>
      <w:proofErr w:type="spellEnd"/>
      <w:r w:rsidRPr="008E2FF9">
        <w:t xml:space="preserve"> » et se déploie autour de la figure répétée de </w:t>
      </w:r>
      <w:proofErr w:type="spellStart"/>
      <w:r w:rsidRPr="008E2FF9">
        <w:rPr>
          <w:i/>
          <w:iCs/>
        </w:rPr>
        <w:t>woman</w:t>
      </w:r>
      <w:proofErr w:type="spellEnd"/>
      <w:r w:rsidRPr="008E2FF9">
        <w:t xml:space="preserve"> </w:t>
      </w:r>
      <w:r w:rsidRPr="008E2FF9">
        <w:rPr>
          <w:i/>
          <w:iCs/>
        </w:rPr>
        <w:t>(texte écrit très probablement entre 1975 et 1976, alors que Kate Bush avait environ 17 ans</w:t>
      </w:r>
      <w:r w:rsidR="00D6174A">
        <w:rPr>
          <w:i/>
          <w:iCs/>
        </w:rPr>
        <w:t>, soit plus de 20 ans avant qu’elle ne devienne elle-même -une unique fois- mère</w:t>
      </w:r>
      <w:r w:rsidRPr="008E2FF9">
        <w:rPr>
          <w:i/>
          <w:iCs/>
        </w:rPr>
        <w:t>)</w:t>
      </w:r>
      <w:r w:rsidRPr="008E2FF9">
        <w:t xml:space="preserve">. Ce qui frappe est la rigueur lexicale du dispositif. À l’exception du mot </w:t>
      </w:r>
      <w:r w:rsidRPr="008E2FF9">
        <w:rPr>
          <w:i/>
          <w:iCs/>
        </w:rPr>
        <w:t>lady</w:t>
      </w:r>
      <w:r w:rsidRPr="008E2FF9">
        <w:t>, utilisé une seule fois comme adresse initiale à une interlocutrice singulière et située, l’ensemble du texte se construit autour d’un seul terme, obstinément répété. Cette persistance n’est pas stylistique mais ontologique. Elle signale que l’objet du chant n’est ni une catégorie sociale ni une population, mais une figure essentielle de la féminité.</w:t>
      </w:r>
    </w:p>
    <w:p w14:paraId="346D1644" w14:textId="77777777" w:rsidR="008E2FF9" w:rsidRPr="008E2FF9" w:rsidRDefault="008E2FF9" w:rsidP="00C4794B">
      <w:r w:rsidRPr="008E2FF9">
        <w:t xml:space="preserve">Cette intuition est redoublée par un choix grammatical décisif. Le texte recourt à la première personne du pluriel tout en refusant le pluriel du substantif. Dire « </w:t>
      </w:r>
      <w:proofErr w:type="spellStart"/>
      <w:r w:rsidRPr="008E2FF9">
        <w:rPr>
          <w:i/>
          <w:iCs/>
        </w:rPr>
        <w:t>we’re</w:t>
      </w:r>
      <w:proofErr w:type="spellEnd"/>
      <w:r w:rsidRPr="008E2FF9">
        <w:rPr>
          <w:i/>
          <w:iCs/>
        </w:rPr>
        <w:t xml:space="preserve"> </w:t>
      </w:r>
      <w:proofErr w:type="spellStart"/>
      <w:r w:rsidRPr="008E2FF9">
        <w:rPr>
          <w:i/>
          <w:iCs/>
        </w:rPr>
        <w:t>woman</w:t>
      </w:r>
      <w:proofErr w:type="spellEnd"/>
      <w:r w:rsidRPr="008E2FF9">
        <w:t xml:space="preserve"> » plutôt que « </w:t>
      </w:r>
      <w:proofErr w:type="spellStart"/>
      <w:r w:rsidRPr="008E2FF9">
        <w:rPr>
          <w:i/>
          <w:iCs/>
        </w:rPr>
        <w:t>we’re</w:t>
      </w:r>
      <w:proofErr w:type="spellEnd"/>
      <w:r w:rsidRPr="008E2FF9">
        <w:rPr>
          <w:i/>
          <w:iCs/>
        </w:rPr>
        <w:t xml:space="preserve"> </w:t>
      </w:r>
      <w:proofErr w:type="spellStart"/>
      <w:r w:rsidRPr="008E2FF9">
        <w:rPr>
          <w:i/>
          <w:iCs/>
        </w:rPr>
        <w:t>women</w:t>
      </w:r>
      <w:proofErr w:type="spellEnd"/>
      <w:r w:rsidRPr="008E2FF9">
        <w:t xml:space="preserve"> », c’est refuser la dispersion du féminin dans le nombre et dans l’addition des individus. Le </w:t>
      </w:r>
      <w:proofErr w:type="spellStart"/>
      <w:r w:rsidRPr="008E2FF9">
        <w:rPr>
          <w:i/>
          <w:iCs/>
        </w:rPr>
        <w:t>we</w:t>
      </w:r>
      <w:proofErr w:type="spellEnd"/>
      <w:r w:rsidRPr="008E2FF9">
        <w:t xml:space="preserve"> ne </w:t>
      </w:r>
      <w:proofErr w:type="spellStart"/>
      <w:r w:rsidRPr="008E2FF9">
        <w:t>somme</w:t>
      </w:r>
      <w:proofErr w:type="spellEnd"/>
      <w:r w:rsidRPr="008E2FF9">
        <w:t xml:space="preserve"> pas des subjectivités ; il participe d’une même forme. La femme ainsi nommée n’est pas une personne empirique, mais un idéal-type autour duquel s’organisent la contenance, la résilience et la continuité du vivant.</w:t>
      </w:r>
    </w:p>
    <w:p w14:paraId="57FBF44F" w14:textId="77777777" w:rsidR="008E2FF9" w:rsidRPr="008E2FF9" w:rsidRDefault="008E2FF9" w:rsidP="00C4794B">
      <w:r w:rsidRPr="008E2FF9">
        <w:t xml:space="preserve">Cette centralité ontologique est indissociable de son caractère inaltérable. La formule « </w:t>
      </w:r>
      <w:r w:rsidRPr="008E2FF9">
        <w:rPr>
          <w:i/>
          <w:iCs/>
        </w:rPr>
        <w:t xml:space="preserve">No, </w:t>
      </w:r>
      <w:proofErr w:type="spellStart"/>
      <w:r w:rsidRPr="008E2FF9">
        <w:rPr>
          <w:i/>
          <w:iCs/>
        </w:rPr>
        <w:t>we</w:t>
      </w:r>
      <w:proofErr w:type="spellEnd"/>
      <w:r w:rsidRPr="008E2FF9">
        <w:rPr>
          <w:i/>
          <w:iCs/>
        </w:rPr>
        <w:t xml:space="preserve"> </w:t>
      </w:r>
      <w:proofErr w:type="spellStart"/>
      <w:r w:rsidRPr="008E2FF9">
        <w:rPr>
          <w:i/>
          <w:iCs/>
        </w:rPr>
        <w:t>never</w:t>
      </w:r>
      <w:proofErr w:type="spellEnd"/>
      <w:r w:rsidRPr="008E2FF9">
        <w:rPr>
          <w:i/>
          <w:iCs/>
        </w:rPr>
        <w:t xml:space="preserve"> die for long</w:t>
      </w:r>
      <w:r w:rsidRPr="008E2FF9">
        <w:t xml:space="preserve"> » n’énonce pas une promesse individuelle d’immortalité ; elle affirme la permanence d’une forme. La femme dont il est question peut souffrir, se retirer, être accablée, symboliquement mourir — mais jamais définitivement. Elle revient, non par décision, mais par </w:t>
      </w:r>
      <w:r w:rsidRPr="008E2FF9">
        <w:lastRenderedPageBreak/>
        <w:t xml:space="preserve">structure. Comme tout idéal-type véritable, elle ne connaît pas la disparition, seulement l’éclipse. Cette immortalité n’est pas celle de l’âme abstraite ni de l’œuvre monumentale, mais celle du principe vivant lui-même, continuellement reconduit par la capacité à contenir la vie, à la préserver « </w:t>
      </w:r>
      <w:proofErr w:type="spellStart"/>
      <w:r w:rsidRPr="008E2FF9">
        <w:rPr>
          <w:i/>
          <w:iCs/>
        </w:rPr>
        <w:t>hid</w:t>
      </w:r>
      <w:proofErr w:type="spellEnd"/>
      <w:r w:rsidRPr="008E2FF9">
        <w:rPr>
          <w:i/>
          <w:iCs/>
        </w:rPr>
        <w:t xml:space="preserve"> </w:t>
      </w:r>
      <w:proofErr w:type="spellStart"/>
      <w:r w:rsidRPr="008E2FF9">
        <w:rPr>
          <w:i/>
          <w:iCs/>
        </w:rPr>
        <w:t>inside</w:t>
      </w:r>
      <w:proofErr w:type="spellEnd"/>
      <w:r w:rsidRPr="008E2FF9">
        <w:t xml:space="preserve"> », à la porter même dans l’effacement social ou historique.</w:t>
      </w:r>
    </w:p>
    <w:p w14:paraId="77D87115" w14:textId="77777777" w:rsidR="008E2FF9" w:rsidRPr="008E2FF9" w:rsidRDefault="008E2FF9" w:rsidP="00C4794B">
      <w:r w:rsidRPr="008E2FF9">
        <w:t>Cette proximité ontologique se manifeste enfin dans les choix esthétiques ultérieurs de Kate Bush. L’insistance sur la danse, le mime, le travail du geste, du souffle et de la posture apparaît comme la prolongation logique d’une ontologie déjà inscrite dans les textes. Le corps n’y est jamais décoratif ; il devient médium du sens. La scène n’est pas un lieu d’exposition, mais un espace de traduction somatique, où le sens passe par le mouvement et la tension. L’absence presque totale de théorisation explicite confirme cette cohérence : ce qui est le plus essentiel ne se dit pas sans se trahir. L’ontologie du dedans ne pouvait être proclamée sans se dissoudre ; elle ne pouvait qu’être vécue, rejouée, incarnée — et, au sens le plus fort du terme, enfantée.</w:t>
      </w:r>
    </w:p>
    <w:sectPr w:rsidR="008E2FF9" w:rsidRPr="008E2FF9" w:rsidSect="00477E73">
      <w:footerReference w:type="default" r:id="rId8"/>
      <w:pgSz w:w="6236" w:h="10205"/>
      <w:pgMar w:top="851" w:right="680" w:bottom="113"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86FD7" w14:textId="77777777" w:rsidR="00935540" w:rsidRDefault="00935540" w:rsidP="00C4794B">
      <w:r>
        <w:separator/>
      </w:r>
    </w:p>
  </w:endnote>
  <w:endnote w:type="continuationSeparator" w:id="0">
    <w:p w14:paraId="117E805A" w14:textId="77777777" w:rsidR="00935540" w:rsidRDefault="00935540" w:rsidP="00C47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2FDF" w14:textId="77777777" w:rsidR="00477E73" w:rsidRDefault="00477E73" w:rsidP="00C4794B">
    <w:pPr>
      <w:pStyle w:val="Pieddepage"/>
    </w:pPr>
  </w:p>
  <w:p w14:paraId="63809F51" w14:textId="17FAF83C" w:rsidR="00C91580" w:rsidRDefault="00C91580" w:rsidP="00166C63">
    <w:pPr>
      <w:pStyle w:val="Pieddepage"/>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BD5B" w14:textId="77777777" w:rsidR="00935540" w:rsidRDefault="00935540" w:rsidP="00C4794B">
      <w:r>
        <w:separator/>
      </w:r>
    </w:p>
  </w:footnote>
  <w:footnote w:type="continuationSeparator" w:id="0">
    <w:p w14:paraId="437D600C" w14:textId="77777777" w:rsidR="00935540" w:rsidRDefault="00935540" w:rsidP="00C47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91577765">
    <w:abstractNumId w:val="8"/>
  </w:num>
  <w:num w:numId="2" w16cid:durableId="1372995171">
    <w:abstractNumId w:val="6"/>
  </w:num>
  <w:num w:numId="3" w16cid:durableId="877814929">
    <w:abstractNumId w:val="5"/>
  </w:num>
  <w:num w:numId="4" w16cid:durableId="662052077">
    <w:abstractNumId w:val="4"/>
  </w:num>
  <w:num w:numId="5" w16cid:durableId="738136576">
    <w:abstractNumId w:val="7"/>
  </w:num>
  <w:num w:numId="6" w16cid:durableId="1350528377">
    <w:abstractNumId w:val="3"/>
  </w:num>
  <w:num w:numId="7" w16cid:durableId="420881084">
    <w:abstractNumId w:val="2"/>
  </w:num>
  <w:num w:numId="8" w16cid:durableId="1897812080">
    <w:abstractNumId w:val="1"/>
  </w:num>
  <w:num w:numId="9" w16cid:durableId="27474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6C63"/>
    <w:rsid w:val="0017314C"/>
    <w:rsid w:val="0029639D"/>
    <w:rsid w:val="00326F90"/>
    <w:rsid w:val="00333E44"/>
    <w:rsid w:val="003F0159"/>
    <w:rsid w:val="00477E73"/>
    <w:rsid w:val="00645ABF"/>
    <w:rsid w:val="00726964"/>
    <w:rsid w:val="007A5FB4"/>
    <w:rsid w:val="0080428D"/>
    <w:rsid w:val="008E2FF9"/>
    <w:rsid w:val="008E4384"/>
    <w:rsid w:val="00935540"/>
    <w:rsid w:val="00AA1D8D"/>
    <w:rsid w:val="00B47730"/>
    <w:rsid w:val="00C00D64"/>
    <w:rsid w:val="00C4794B"/>
    <w:rsid w:val="00C91580"/>
    <w:rsid w:val="00CB0664"/>
    <w:rsid w:val="00CF717A"/>
    <w:rsid w:val="00D6174A"/>
    <w:rsid w:val="00DB6CCE"/>
    <w:rsid w:val="00E9606A"/>
    <w:rsid w:val="00EA4076"/>
    <w:rsid w:val="00F07C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235E96"/>
  <w14:defaultImageDpi w14:val="300"/>
  <w15:docId w15:val="{44AA02FF-EC51-435B-919A-4A222007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4B"/>
    <w:pPr>
      <w:spacing w:before="40" w:after="0" w:line="220" w:lineRule="exact"/>
      <w:ind w:firstLine="284"/>
      <w:jc w:val="both"/>
    </w:pPr>
    <w:rPr>
      <w:rFonts w:ascii="Times New Roman" w:hAnsi="Times New Roman"/>
      <w:sz w:val="21"/>
      <w:lang w:val="fr-FR"/>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ind w:firstLine="284"/>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itre">
    <w:name w:val="Chapitre"/>
    <w:pPr>
      <w:spacing w:before="480" w:after="360"/>
      <w:jc w:val="center"/>
    </w:pPr>
    <w:rPr>
      <w:rFonts w:ascii="Times New Roman" w:hAnsi="Times New Roman"/>
      <w:b/>
      <w:sz w:val="24"/>
    </w:rPr>
  </w:style>
  <w:style w:type="paragraph" w:styleId="NormalWeb">
    <w:name w:val="Normal (Web)"/>
    <w:basedOn w:val="Normal"/>
    <w:uiPriority w:val="99"/>
    <w:semiHidden/>
    <w:unhideWhenUsed/>
    <w:rsid w:val="008E4384"/>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1543</Words>
  <Characters>8487</Characters>
  <Application>Microsoft Office Word</Application>
  <DocSecurity>0</DocSecurity>
  <Lines>70</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Emmanuel D</cp:lastModifiedBy>
  <cp:revision>7</cp:revision>
  <dcterms:created xsi:type="dcterms:W3CDTF">2026-01-22T07:25:00Z</dcterms:created>
  <dcterms:modified xsi:type="dcterms:W3CDTF">2026-01-30T07:25:00Z</dcterms:modified>
  <cp:category/>
</cp:coreProperties>
</file>